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C8" w:rsidRDefault="00B05AC8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5AC8" w:rsidRDefault="00B05AC8">
      <w:pPr>
        <w:pStyle w:val="ConsPlusNormal"/>
        <w:jc w:val="both"/>
        <w:outlineLvl w:val="0"/>
      </w:pPr>
    </w:p>
    <w:p w:rsidR="00B05AC8" w:rsidRDefault="00B05AC8">
      <w:pPr>
        <w:pStyle w:val="ConsPlusNormal"/>
        <w:outlineLvl w:val="0"/>
      </w:pPr>
      <w:r>
        <w:t>Зарегистрировано в Минюсте России 1 декабря 2023 г. N 76207</w:t>
      </w:r>
    </w:p>
    <w:p w:rsidR="00B05AC8" w:rsidRDefault="00B05A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</w:pPr>
      <w:r>
        <w:t>МИНИСТЕРСТВО ПРОСВЕЩЕНИЯ РОССИЙСКОЙ ФЕДЕРАЦИИ</w:t>
      </w:r>
    </w:p>
    <w:p w:rsidR="00B05AC8" w:rsidRDefault="00B05AC8">
      <w:pPr>
        <w:pStyle w:val="ConsPlusTitle"/>
        <w:jc w:val="center"/>
      </w:pPr>
    </w:p>
    <w:p w:rsidR="00B05AC8" w:rsidRDefault="00B05AC8">
      <w:pPr>
        <w:pStyle w:val="ConsPlusTitle"/>
        <w:jc w:val="center"/>
      </w:pPr>
      <w:r>
        <w:t>ПРИКАЗ</w:t>
      </w:r>
    </w:p>
    <w:p w:rsidR="00B05AC8" w:rsidRDefault="00B05AC8">
      <w:pPr>
        <w:pStyle w:val="ConsPlusTitle"/>
        <w:jc w:val="center"/>
      </w:pPr>
      <w:r>
        <w:t>от 27 октября 2023 г. N 798</w:t>
      </w:r>
    </w:p>
    <w:p w:rsidR="00B05AC8" w:rsidRDefault="00B05AC8">
      <w:pPr>
        <w:pStyle w:val="ConsPlusTitle"/>
        <w:jc w:val="center"/>
      </w:pPr>
    </w:p>
    <w:p w:rsidR="00B05AC8" w:rsidRDefault="00B05AC8">
      <w:pPr>
        <w:pStyle w:val="ConsPlusTitle"/>
        <w:jc w:val="center"/>
      </w:pPr>
      <w:r>
        <w:t>ОБ УТВЕРЖДЕНИИ</w:t>
      </w:r>
    </w:p>
    <w:p w:rsidR="00B05AC8" w:rsidRDefault="00B05AC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05AC8" w:rsidRDefault="00B05AC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B05AC8" w:rsidRDefault="00B05AC8">
      <w:pPr>
        <w:pStyle w:val="ConsPlusTitle"/>
        <w:jc w:val="center"/>
      </w:pPr>
      <w:r>
        <w:t>40.02.04 ЮРИСПРУДЕНЦИЯ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40.02.4 Юриспруденция (далее - стандарт).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40.02.01</w:t>
        </w:r>
      </w:hyperlink>
      <w: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40.02.03</w:t>
        </w:r>
      </w:hyperlink>
      <w: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right"/>
      </w:pPr>
      <w:r>
        <w:t>Министр</w:t>
      </w:r>
    </w:p>
    <w:p w:rsidR="00B05AC8" w:rsidRDefault="00B05AC8">
      <w:pPr>
        <w:pStyle w:val="ConsPlusNormal"/>
        <w:jc w:val="right"/>
      </w:pPr>
      <w:r>
        <w:t>С.С.КРАВЦОВ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right"/>
        <w:outlineLvl w:val="0"/>
      </w:pPr>
      <w:r>
        <w:t>Утвержден</w:t>
      </w:r>
    </w:p>
    <w:p w:rsidR="00B05AC8" w:rsidRDefault="00B05AC8">
      <w:pPr>
        <w:pStyle w:val="ConsPlusNormal"/>
        <w:jc w:val="right"/>
      </w:pPr>
      <w:r>
        <w:t>приказом Министерства просвещения</w:t>
      </w:r>
    </w:p>
    <w:p w:rsidR="00B05AC8" w:rsidRDefault="00B05AC8">
      <w:pPr>
        <w:pStyle w:val="ConsPlusNormal"/>
        <w:jc w:val="right"/>
      </w:pPr>
      <w:r>
        <w:t>Российской Федерации</w:t>
      </w:r>
    </w:p>
    <w:p w:rsidR="00B05AC8" w:rsidRDefault="00B05AC8">
      <w:pPr>
        <w:pStyle w:val="ConsPlusNormal"/>
        <w:jc w:val="right"/>
      </w:pPr>
      <w:r>
        <w:t>от 27 октября 2023 г. N 798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B05AC8" w:rsidRDefault="00B05AC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B05AC8" w:rsidRDefault="00B05AC8">
      <w:pPr>
        <w:pStyle w:val="ConsPlusTitle"/>
        <w:jc w:val="center"/>
      </w:pPr>
      <w:r>
        <w:t>40.02.04 ЮРИСПРУДЕНЦИЯ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  <w:outlineLvl w:val="1"/>
      </w:pPr>
      <w:r>
        <w:t>I. ОБЩИЕ ПОЛОЖЕНИЯ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40.02.04</w:t>
        </w:r>
      </w:hyperlink>
      <w: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</w:t>
      </w:r>
      <w: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05AC8" w:rsidRDefault="00B05AC8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09</w:t>
        </w:r>
      </w:hyperlink>
      <w:r>
        <w:t xml:space="preserve"> Юриспруденция &lt;5&gt;.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практику;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right"/>
      </w:pPr>
      <w:r>
        <w:t>Таблица N 1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center"/>
      </w:pPr>
      <w:bookmarkStart w:id="5" w:name="P84"/>
      <w:bookmarkEnd w:id="5"/>
      <w:r>
        <w:t>Структура и объем образовательной программы</w:t>
      </w:r>
    </w:p>
    <w:p w:rsidR="00B05AC8" w:rsidRDefault="00B05A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B05AC8">
        <w:tc>
          <w:tcPr>
            <w:tcW w:w="4989" w:type="dxa"/>
          </w:tcPr>
          <w:p w:rsidR="00B05AC8" w:rsidRDefault="00B05AC8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B05AC8">
        <w:tc>
          <w:tcPr>
            <w:tcW w:w="4989" w:type="dxa"/>
          </w:tcPr>
          <w:p w:rsidR="00B05AC8" w:rsidRDefault="00B05AC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B05AC8">
        <w:tc>
          <w:tcPr>
            <w:tcW w:w="4989" w:type="dxa"/>
          </w:tcPr>
          <w:p w:rsidR="00B05AC8" w:rsidRDefault="00B05AC8">
            <w:pPr>
              <w:pStyle w:val="ConsPlusNormal"/>
            </w:pPr>
            <w:r>
              <w:lastRenderedPageBreak/>
              <w:t>Практика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B05AC8">
        <w:tc>
          <w:tcPr>
            <w:tcW w:w="4989" w:type="dxa"/>
          </w:tcPr>
          <w:p w:rsidR="00B05AC8" w:rsidRDefault="00B05AC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216</w:t>
            </w:r>
          </w:p>
        </w:tc>
      </w:tr>
      <w:tr w:rsidR="00B05AC8">
        <w:tc>
          <w:tcPr>
            <w:tcW w:w="9071" w:type="dxa"/>
            <w:gridSpan w:val="2"/>
          </w:tcPr>
          <w:p w:rsidR="00B05AC8" w:rsidRDefault="00B05AC8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B05AC8">
        <w:tc>
          <w:tcPr>
            <w:tcW w:w="4989" w:type="dxa"/>
          </w:tcPr>
          <w:p w:rsidR="00B05AC8" w:rsidRDefault="00B05AC8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2952</w:t>
            </w:r>
          </w:p>
        </w:tc>
      </w:tr>
      <w:tr w:rsidR="00B05AC8">
        <w:tc>
          <w:tcPr>
            <w:tcW w:w="4989" w:type="dxa"/>
          </w:tcPr>
          <w:p w:rsidR="00B05AC8" w:rsidRDefault="00B05AC8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B05AC8" w:rsidRDefault="00B05AC8">
            <w:pPr>
              <w:pStyle w:val="ConsPlusNormal"/>
              <w:jc w:val="center"/>
            </w:pPr>
            <w:r>
              <w:t>4428</w:t>
            </w:r>
          </w:p>
        </w:tc>
      </w:tr>
    </w:tbl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B05AC8" w:rsidRDefault="00B05AC8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правоприменительная деятельность;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правоохранительная деятельность;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обеспечение реализации прав граждан в сфере пенсионного обеспечения и социальной защиты (по выбору);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правоохранительных органов (по выбору);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организационно-техническое обеспечение работы судов (по выбору);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lastRenderedPageBreak/>
        <w:t>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B05AC8" w:rsidRDefault="00B05AC8">
      <w:pPr>
        <w:pStyle w:val="ConsPlusTitle"/>
        <w:jc w:val="center"/>
      </w:pPr>
      <w:r>
        <w:t>ОБРАЗОВАТЕЛЬНОЙ ПРОГРАММЫ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right"/>
      </w:pPr>
      <w:r>
        <w:t>Таблица N 2</w:t>
      </w:r>
    </w:p>
    <w:p w:rsidR="00B05AC8" w:rsidRDefault="00B05A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B05AC8">
        <w:tc>
          <w:tcPr>
            <w:tcW w:w="2438" w:type="dxa"/>
          </w:tcPr>
          <w:p w:rsidR="00B05AC8" w:rsidRDefault="00B05AC8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center"/>
            </w:pPr>
            <w:r>
              <w:t>2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t>правоприменительная деятельность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1.1. Осуществлять профессиональное толкование норм права.</w:t>
            </w:r>
          </w:p>
          <w:p w:rsidR="00B05AC8" w:rsidRDefault="00B05AC8">
            <w:pPr>
              <w:pStyle w:val="ConsPlusNormal"/>
              <w:jc w:val="both"/>
            </w:pPr>
            <w:r>
              <w:t>ПК 1.2. Применять нормы права для решения задач в профессиональной деятельности.</w:t>
            </w:r>
          </w:p>
          <w:p w:rsidR="00B05AC8" w:rsidRDefault="00B05AC8">
            <w:pPr>
              <w:pStyle w:val="ConsPlusNormal"/>
              <w:jc w:val="both"/>
            </w:pPr>
            <w: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2.1. Осуществлять контроль соблюдения законодательства Российской Федерации субъектами права.</w:t>
            </w:r>
          </w:p>
          <w:p w:rsidR="00B05AC8" w:rsidRDefault="00B05AC8">
            <w:pPr>
              <w:pStyle w:val="ConsPlusNormal"/>
              <w:jc w:val="both"/>
            </w:pPr>
            <w: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B05AC8" w:rsidRDefault="00B05AC8">
            <w:pPr>
              <w:pStyle w:val="ConsPlusNormal"/>
              <w:jc w:val="both"/>
            </w:pPr>
            <w: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B05AC8" w:rsidRDefault="00B05AC8">
            <w:pPr>
              <w:pStyle w:val="ConsPlusNormal"/>
              <w:jc w:val="both"/>
            </w:pPr>
            <w: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B05AC8" w:rsidRDefault="00B05AC8">
            <w:pPr>
              <w:pStyle w:val="ConsPlusNormal"/>
              <w:jc w:val="both"/>
            </w:pPr>
            <w: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B05AC8" w:rsidRDefault="00B05AC8">
            <w:pPr>
              <w:pStyle w:val="ConsPlusNormal"/>
              <w:jc w:val="both"/>
            </w:pPr>
            <w: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3.1. Осуществлять ведение делопроизводства в правоохранительном органе.</w:t>
            </w:r>
          </w:p>
          <w:p w:rsidR="00B05AC8" w:rsidRDefault="00B05AC8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B05AC8" w:rsidRDefault="00B05AC8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правоохранительного органа.</w:t>
            </w:r>
          </w:p>
          <w:p w:rsidR="00B05AC8" w:rsidRDefault="00B05AC8">
            <w:pPr>
              <w:pStyle w:val="ConsPlusNormal"/>
              <w:jc w:val="both"/>
            </w:pPr>
            <w: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B05AC8" w:rsidRDefault="00B05AC8">
            <w:pPr>
              <w:pStyle w:val="ConsPlusNormal"/>
              <w:jc w:val="both"/>
            </w:pPr>
            <w:r>
              <w:t xml:space="preserve">ПК 3.5. Осуществлять работу по номенклатурному учету и техническому оформлению документов в правоохранительном </w:t>
            </w:r>
            <w:r>
              <w:lastRenderedPageBreak/>
              <w:t>органе.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3.1. Осуществлять ведение судебного делопроизводства.</w:t>
            </w:r>
          </w:p>
          <w:p w:rsidR="00B05AC8" w:rsidRDefault="00B05AC8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B05AC8" w:rsidRDefault="00B05AC8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суда.</w:t>
            </w:r>
          </w:p>
          <w:p w:rsidR="00B05AC8" w:rsidRDefault="00B05AC8">
            <w:pPr>
              <w:pStyle w:val="ConsPlusNormal"/>
              <w:jc w:val="both"/>
            </w:pPr>
            <w:r>
              <w:t>ПК 3.4. Осуществлять работу с обращениями граждан и организаций.</w:t>
            </w:r>
          </w:p>
          <w:p w:rsidR="00B05AC8" w:rsidRDefault="00B05AC8">
            <w:pPr>
              <w:pStyle w:val="ConsPlusNormal"/>
              <w:jc w:val="both"/>
            </w:pPr>
            <w: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B05AC8">
        <w:tc>
          <w:tcPr>
            <w:tcW w:w="2438" w:type="dxa"/>
          </w:tcPr>
          <w:p w:rsidR="00B05AC8" w:rsidRDefault="00B05AC8">
            <w:pPr>
              <w:pStyle w:val="ConsPlusNormal"/>
            </w:pPr>
            <w: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B05AC8" w:rsidRDefault="00B05AC8">
            <w:pPr>
              <w:pStyle w:val="ConsPlusNormal"/>
              <w:jc w:val="both"/>
            </w:pPr>
            <w:r>
              <w:t>ПК 3.1. Вести документооборот при оказании профессиональной юридической помощи.</w:t>
            </w:r>
          </w:p>
          <w:p w:rsidR="00B05AC8" w:rsidRDefault="00B05AC8">
            <w:pPr>
              <w:pStyle w:val="ConsPlusNormal"/>
              <w:jc w:val="both"/>
            </w:pPr>
            <w: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B05AC8" w:rsidRDefault="00B05AC8">
            <w:pPr>
              <w:pStyle w:val="ConsPlusNormal"/>
              <w:jc w:val="both"/>
            </w:pPr>
            <w:r>
              <w:t>ПК 3.3. Составлять подборку законодательства и судебной практики.</w:t>
            </w:r>
          </w:p>
          <w:p w:rsidR="00B05AC8" w:rsidRDefault="00B05AC8">
            <w:pPr>
              <w:pStyle w:val="ConsPlusNormal"/>
              <w:jc w:val="both"/>
            </w:pPr>
            <w:r>
              <w:t>ПК 3.4. Разрабатывать проекты юридических документов.</w:t>
            </w:r>
          </w:p>
          <w:p w:rsidR="00B05AC8" w:rsidRDefault="00B05AC8">
            <w:pPr>
              <w:pStyle w:val="ConsPlusNormal"/>
              <w:jc w:val="both"/>
            </w:pPr>
            <w: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B05AC8" w:rsidRDefault="00B05AC8">
      <w:pPr>
        <w:pStyle w:val="ConsPlusTitle"/>
        <w:jc w:val="center"/>
      </w:pPr>
      <w:r>
        <w:t>ОБРАЗОВАТЕЛЬНОЙ ПРОГРАММЫ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</w:t>
      </w:r>
      <w:r>
        <w:lastRenderedPageBreak/>
        <w:t>соответствии с действующими санитарными нормами и правилами &lt;7&gt;.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</w:t>
      </w:r>
      <w:r>
        <w:lastRenderedPageBreak/>
        <w:t xml:space="preserve">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B05AC8" w:rsidRDefault="00B05AC8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jc w:val="both"/>
      </w:pPr>
    </w:p>
    <w:p w:rsidR="00B05AC8" w:rsidRDefault="00B05A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 w:rsidSect="0088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8"/>
    <w:rsid w:val="00B05AC8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9EC86-33AF-4DD2-8D5D-AAA1230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5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5A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588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1594&amp;dst=100047" TargetMode="External"/><Relationship Id="rId7" Type="http://schemas.openxmlformats.org/officeDocument/2006/relationships/hyperlink" Target="https://login.consultant.ru/link/?req=doc&amp;base=LAW&amp;n=398401&amp;dst=100012" TargetMode="External"/><Relationship Id="rId12" Type="http://schemas.openxmlformats.org/officeDocument/2006/relationships/hyperlink" Target="https://login.consultant.ru/link/?req=doc&amp;base=LAW&amp;n=477946&amp;dst=100562" TargetMode="External"/><Relationship Id="rId17" Type="http://schemas.openxmlformats.org/officeDocument/2006/relationships/hyperlink" Target="https://login.consultant.ru/link/?req=doc&amp;base=LAW&amp;n=214720&amp;dst=100066" TargetMode="External"/><Relationship Id="rId25" Type="http://schemas.openxmlformats.org/officeDocument/2006/relationships/hyperlink" Target="https://login.consultant.ru/link/?req=doc&amp;base=LAW&amp;n=4697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336&amp;dst=100249" TargetMode="External"/><Relationship Id="rId20" Type="http://schemas.openxmlformats.org/officeDocument/2006/relationships/hyperlink" Target="https://login.consultant.ru/link/?req=doc&amp;base=LAW&amp;n=483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7946&amp;dst=101165" TargetMode="External"/><Relationship Id="rId24" Type="http://schemas.openxmlformats.org/officeDocument/2006/relationships/hyperlink" Target="https://login.consultant.ru/link/?req=doc&amp;base=LAW&amp;n=470336" TargetMode="External"/><Relationship Id="rId5" Type="http://schemas.openxmlformats.org/officeDocument/2006/relationships/hyperlink" Target="https://login.consultant.ru/link/?req=doc&amp;base=LAW&amp;n=488439&amp;dst=100051" TargetMode="External"/><Relationship Id="rId15" Type="http://schemas.openxmlformats.org/officeDocument/2006/relationships/hyperlink" Target="https://login.consultant.ru/link/?req=doc&amp;base=LAW&amp;n=470336&amp;dst=774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377712&amp;dst=101594" TargetMode="External"/><Relationship Id="rId19" Type="http://schemas.openxmlformats.org/officeDocument/2006/relationships/hyperlink" Target="https://login.consultant.ru/link/?req=doc&amp;base=LAW&amp;n=470336&amp;dst=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384&amp;dst=100011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367564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5279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2024-11-08T04:19:00Z</dcterms:created>
  <dcterms:modified xsi:type="dcterms:W3CDTF">2024-11-08T04:19:00Z</dcterms:modified>
</cp:coreProperties>
</file>